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尊敬的客户</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中国证监会已同意上海</w:t>
      </w:r>
      <w:r>
        <w:rPr>
          <w:rFonts w:hint="eastAsia" w:ascii="仿宋" w:hAnsi="仿宋" w:eastAsia="仿宋" w:cs="仿宋"/>
          <w:sz w:val="32"/>
          <w:szCs w:val="32"/>
          <w:lang w:val="en-US" w:eastAsia="zh-CN"/>
        </w:rPr>
        <w:t>期货</w:t>
      </w:r>
      <w:r>
        <w:rPr>
          <w:rFonts w:hint="eastAsia" w:ascii="仿宋" w:hAnsi="仿宋" w:eastAsia="仿宋" w:cs="仿宋"/>
          <w:sz w:val="32"/>
          <w:szCs w:val="32"/>
        </w:rPr>
        <w:t>交易所（以下简称上期所）</w:t>
      </w:r>
      <w:r>
        <w:rPr>
          <w:rFonts w:hint="eastAsia" w:ascii="仿宋" w:hAnsi="仿宋" w:eastAsia="仿宋" w:cs="仿宋"/>
          <w:sz w:val="32"/>
          <w:szCs w:val="32"/>
          <w:lang w:eastAsia="zh-CN"/>
        </w:rPr>
        <w:t>铸造铝合金</w:t>
      </w:r>
      <w:r>
        <w:rPr>
          <w:rFonts w:hint="eastAsia" w:ascii="仿宋" w:hAnsi="仿宋" w:eastAsia="仿宋" w:cs="仿宋"/>
          <w:sz w:val="32"/>
          <w:szCs w:val="32"/>
          <w:lang w:val="en-US" w:eastAsia="zh-CN"/>
        </w:rPr>
        <w:t>期权</w:t>
      </w:r>
      <w:r>
        <w:rPr>
          <w:rFonts w:hint="eastAsia" w:ascii="仿宋" w:hAnsi="仿宋" w:eastAsia="仿宋" w:cs="仿宋"/>
          <w:sz w:val="32"/>
          <w:szCs w:val="32"/>
        </w:rPr>
        <w:t>注册</w:t>
      </w:r>
      <w:r>
        <w:rPr>
          <w:rFonts w:hint="eastAsia" w:ascii="仿宋" w:hAnsi="仿宋" w:eastAsia="仿宋" w:cs="仿宋"/>
          <w:sz w:val="32"/>
          <w:szCs w:val="32"/>
          <w:lang w:eastAsia="zh-CN"/>
        </w:rPr>
        <w:t>。</w:t>
      </w:r>
      <w:r>
        <w:rPr>
          <w:rFonts w:hint="eastAsia" w:ascii="仿宋" w:hAnsi="仿宋" w:eastAsia="仿宋" w:cs="仿宋"/>
          <w:sz w:val="32"/>
          <w:szCs w:val="32"/>
        </w:rPr>
        <w:t>根据上期所相关规则，现将有关事项通知如下：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一、上市时间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铸造铝合金期权自2025年6月10日（周二）晚上21:00起上市交易，当日20:55-21:00集合竞价，21:00开盘。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二、交易时间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每周一至周五，9:00-10:15、10:30-11:30和13:30-15:00。连续交易时间为每周一至周五21:00-次日01:00。法定节假日前第一个工作日（不包含周六和周日）的连续交易时间段不进行交易。</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w:t>
      </w:r>
      <w:r>
        <w:rPr>
          <w:rFonts w:hint="eastAsia" w:ascii="仿宋" w:hAnsi="仿宋" w:eastAsia="仿宋" w:cs="仿宋"/>
          <w:sz w:val="32"/>
          <w:szCs w:val="32"/>
        </w:rPr>
        <w:t>、</w:t>
      </w:r>
      <w:r>
        <w:rPr>
          <w:rFonts w:hint="eastAsia" w:ascii="仿宋" w:hAnsi="仿宋" w:eastAsia="仿宋" w:cs="仿宋"/>
          <w:sz w:val="32"/>
          <w:szCs w:val="32"/>
          <w:lang w:val="en-US" w:eastAsia="zh-CN"/>
        </w:rPr>
        <w:t>挂牌</w:t>
      </w:r>
      <w:r>
        <w:rPr>
          <w:rFonts w:hint="eastAsia" w:ascii="仿宋" w:hAnsi="仿宋" w:eastAsia="仿宋" w:cs="仿宋"/>
          <w:sz w:val="32"/>
          <w:szCs w:val="32"/>
        </w:rPr>
        <w:t>合约</w:t>
      </w:r>
      <w:r>
        <w:rPr>
          <w:rFonts w:hint="eastAsia" w:ascii="仿宋" w:hAnsi="仿宋" w:eastAsia="仿宋" w:cs="仿宋"/>
          <w:sz w:val="32"/>
          <w:szCs w:val="32"/>
          <w:lang w:val="en-US" w:eastAsia="zh-CN"/>
        </w:rPr>
        <w:t>月份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铸造铝合金期权首日挂牌AD2511、AD2512对应的期权合约。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铸造铝合金期权合约中，合约月份涉及的标的期货持仓量阈值为10000手（单边）。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挂牌基准价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由上期所在上市前一交易日公布。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计算公式为二叉树期权定价模型，其中无风险利率取央行一年期存款利率，波动率以铸造铝合金现货价格90日历史波动率为基础进行确定</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五、每次最大下单手数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100手。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六、行权和履约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铸造铝合金期权为美式期权，客户办理行权、放弃行权等业务的时间及渠道见下表：</w:t>
      </w: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表</w:t>
      </w:r>
      <w:r>
        <w:rPr>
          <w:rFonts w:hint="eastAsia" w:ascii="仿宋" w:hAnsi="仿宋" w:eastAsia="仿宋" w:cs="仿宋"/>
          <w:sz w:val="24"/>
          <w:szCs w:val="24"/>
          <w:lang w:val="en-US" w:eastAsia="zh-CN"/>
        </w:rPr>
        <w:t>一</w:t>
      </w:r>
      <w:r>
        <w:rPr>
          <w:rFonts w:hint="eastAsia" w:ascii="仿宋" w:hAnsi="仿宋" w:eastAsia="仿宋" w:cs="仿宋"/>
          <w:sz w:val="24"/>
          <w:szCs w:val="24"/>
        </w:rPr>
        <w:t>：</w:t>
      </w:r>
      <w:r>
        <w:rPr>
          <w:rFonts w:hint="eastAsia" w:ascii="仿宋" w:hAnsi="仿宋" w:eastAsia="仿宋" w:cs="仿宋"/>
          <w:sz w:val="24"/>
          <w:szCs w:val="24"/>
          <w:lang w:val="en-US" w:eastAsia="zh-CN"/>
        </w:rPr>
        <w:t>行权和履约时间及渠道</w:t>
      </w:r>
    </w:p>
    <w:tbl>
      <w:tblPr>
        <w:tblStyle w:val="2"/>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91"/>
        <w:gridCol w:w="2601"/>
        <w:gridCol w:w="3127"/>
      </w:tblGrid>
      <w:tr>
        <w:tblPrEx>
          <w:tblCellMar>
            <w:top w:w="0" w:type="dxa"/>
            <w:left w:w="108" w:type="dxa"/>
            <w:bottom w:w="0" w:type="dxa"/>
            <w:right w:w="108" w:type="dxa"/>
          </w:tblCellMar>
        </w:tblPrEx>
        <w:trPr>
          <w:trHeight w:val="270" w:hRule="atLeast"/>
          <w:jc w:val="center"/>
        </w:trPr>
        <w:tc>
          <w:tcPr>
            <w:tcW w:w="1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业务类型</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申请时间</w:t>
            </w: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申请渠道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非到期日提交行权申请</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非到期日15:00之前</w:t>
            </w: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交易终端及会员服务系统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非到期日行权前双向期权持仓对冲平仓申请</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非到期日15:00之前</w:t>
            </w: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交易终端及会员服务系统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非到期日行权后双向期货持仓对冲平仓申请</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非到期日15:00之前</w:t>
            </w: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交易终端及会员服务系统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非到期日履约后双向期货持仓对冲平仓申请</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非到期日15:00之前</w:t>
            </w: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交易终端及会员服务系统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到期日提交行权申请</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到期日15:00之前</w:t>
            </w: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交易终端及会员服务系统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到期日提交放弃申请</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到期日15:00之前</w:t>
            </w: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交易终端及会员服务系统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到期日行权前双向期权持仓对冲平仓申请</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到期日15:00之前</w:t>
            </w: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交易终端及会员服务系统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到期日行权后双向期货持仓对冲平仓申请</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到期日15:00之前</w:t>
            </w: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交易终端及会员服务系统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到期日履约后双向期货持仓对冲平仓申请</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到期日15:00之前</w:t>
            </w: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交易终端及会员服务系统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做市商期权持仓不自对冲申请</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非到期日15:00之前</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到期日15:00之前</w:t>
            </w: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交易终端及会员服务系统</w:t>
            </w:r>
          </w:p>
        </w:tc>
      </w:tr>
    </w:tbl>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default"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七、持仓限额管理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期权合约和期货合约分开限仓。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非期货公司会员和客户持有的某月份期权合约所有看涨期权的买持仓量和看跌期权的卖持仓量之和、看跌期权的买持仓量和看涨期权的卖持仓量之和，分别不得超过下表所示的持仓限额。具有实际控制关系的账户按照同一账户管理。</w:t>
      </w: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default" w:ascii="仿宋" w:hAnsi="仿宋" w:eastAsia="仿宋" w:cs="仿宋"/>
          <w:sz w:val="32"/>
          <w:szCs w:val="32"/>
          <w:lang w:val="en-US" w:eastAsia="zh-CN"/>
        </w:rPr>
      </w:pPr>
      <w:r>
        <w:rPr>
          <w:rFonts w:hint="eastAsia" w:ascii="仿宋" w:hAnsi="仿宋" w:eastAsia="仿宋" w:cs="仿宋"/>
          <w:sz w:val="24"/>
          <w:szCs w:val="24"/>
        </w:rPr>
        <w:t>表</w:t>
      </w:r>
      <w:r>
        <w:rPr>
          <w:rFonts w:hint="eastAsia" w:ascii="仿宋" w:hAnsi="仿宋" w:eastAsia="仿宋" w:cs="仿宋"/>
          <w:sz w:val="24"/>
          <w:szCs w:val="24"/>
          <w:lang w:val="en-US" w:eastAsia="zh-CN"/>
        </w:rPr>
        <w:t>二</w:t>
      </w:r>
      <w:r>
        <w:rPr>
          <w:rFonts w:hint="eastAsia" w:ascii="仿宋" w:hAnsi="仿宋" w:eastAsia="仿宋" w:cs="仿宋"/>
          <w:sz w:val="24"/>
          <w:szCs w:val="24"/>
        </w:rPr>
        <w:t>：</w:t>
      </w:r>
      <w:r>
        <w:rPr>
          <w:rFonts w:hint="eastAsia" w:ascii="仿宋" w:hAnsi="仿宋" w:eastAsia="仿宋" w:cs="仿宋"/>
          <w:sz w:val="24"/>
          <w:szCs w:val="24"/>
          <w:lang w:val="en-US" w:eastAsia="zh-CN"/>
        </w:rPr>
        <w:t>铸造铝合金期权持仓限额规定</w:t>
      </w:r>
    </w:p>
    <w:tbl>
      <w:tblPr>
        <w:tblStyle w:val="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62"/>
        <w:gridCol w:w="1208"/>
        <w:gridCol w:w="2954"/>
        <w:gridCol w:w="1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6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标的期货合约挂牌至交割月份前第二月</w:t>
            </w:r>
          </w:p>
        </w:tc>
        <w:tc>
          <w:tcPr>
            <w:tcW w:w="23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标的期货合约交割月前第一月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6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限仓数额（手，单边）</w:t>
            </w:r>
          </w:p>
        </w:tc>
        <w:tc>
          <w:tcPr>
            <w:tcW w:w="23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限仓数额（手，单边）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非期货公司会员</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客户</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非期货公司会员</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客户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900</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套期保值交易头寸管理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铸造铝合金期权和铸造铝合金期货共用获批的套期保值交易头寸。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相关费用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自上市之日起至2025年12月31日止，套期保值交易手续费实施减半优惠，交易所认定的高频交易者除外。</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铸造铝合金期权对客户信息量收取申报费，如下表所示。</w:t>
      </w: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表</w:t>
      </w:r>
      <w:r>
        <w:rPr>
          <w:rFonts w:hint="eastAsia" w:ascii="仿宋" w:hAnsi="仿宋" w:eastAsia="仿宋" w:cs="仿宋"/>
          <w:sz w:val="24"/>
          <w:szCs w:val="24"/>
          <w:lang w:val="en-US" w:eastAsia="zh-CN"/>
        </w:rPr>
        <w:t>三</w:t>
      </w:r>
      <w:r>
        <w:rPr>
          <w:rFonts w:hint="eastAsia" w:ascii="仿宋" w:hAnsi="仿宋" w:eastAsia="仿宋" w:cs="仿宋"/>
          <w:sz w:val="24"/>
          <w:szCs w:val="24"/>
        </w:rPr>
        <w:t>：</w:t>
      </w:r>
      <w:r>
        <w:rPr>
          <w:rFonts w:hint="eastAsia" w:ascii="仿宋" w:hAnsi="仿宋" w:eastAsia="仿宋" w:cs="仿宋"/>
          <w:sz w:val="24"/>
          <w:szCs w:val="24"/>
          <w:lang w:eastAsia="zh-CN"/>
        </w:rPr>
        <w:t>铸造铝合金期权</w:t>
      </w:r>
      <w:r>
        <w:rPr>
          <w:rFonts w:hint="eastAsia" w:ascii="仿宋" w:hAnsi="仿宋" w:eastAsia="仿宋" w:cs="仿宋"/>
          <w:sz w:val="24"/>
          <w:szCs w:val="24"/>
        </w:rPr>
        <w:t>申报费</w:t>
      </w:r>
      <w:r>
        <w:rPr>
          <w:rFonts w:hint="eastAsia" w:ascii="仿宋" w:hAnsi="仿宋" w:eastAsia="仿宋" w:cs="仿宋"/>
          <w:sz w:val="24"/>
          <w:szCs w:val="24"/>
          <w:lang w:val="en-US" w:eastAsia="zh-CN"/>
        </w:rPr>
        <w:t>费率</w:t>
      </w:r>
      <w:r>
        <w:rPr>
          <w:rFonts w:hint="eastAsia" w:ascii="仿宋" w:hAnsi="仿宋" w:eastAsia="仿宋" w:cs="仿宋"/>
          <w:sz w:val="24"/>
          <w:szCs w:val="24"/>
        </w:rPr>
        <w:t>表</w:t>
      </w:r>
    </w:p>
    <w:tbl>
      <w:tblPr>
        <w:tblStyle w:val="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71"/>
        <w:gridCol w:w="2163"/>
        <w:gridCol w:w="19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564" w:type="pct"/>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 xml:space="preserve">                     报单成交比OTR</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 xml:space="preserve">信息量  </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OTR≤2</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OTR＞2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1笔≤信息量≤4000笔</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4001笔≤信息量≤8000笔</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0.1元/笔</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0.2元/笔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8001笔≤信息量≤40000笔</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0.5元/笔</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1元/笔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40001笔≤信息量</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2元/笔</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5元/笔</w:t>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注释：</w:t>
      </w:r>
      <w:r>
        <w:rPr>
          <w:rFonts w:hint="eastAsia" w:ascii="仿宋" w:hAnsi="仿宋" w:eastAsia="仿宋" w:cs="仿宋"/>
          <w:sz w:val="24"/>
          <w:szCs w:val="24"/>
        </w:rPr>
        <w:t>信息量=报单、撤单、询价等交易指令笔数之和。报单成交比（OTR）=（信息量/有成交的报单笔数）- 1。有成交的报单笔数为0时， 视其为1来计算OTR。上述信息量包括立即全部成交否则自动撤销指令（FOK）和立即成交剩余指令自动撤销指令（FAK）产生的报单和撤单笔数。</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合约询价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非期货公</w:t>
      </w:r>
      <w:bookmarkStart w:id="0" w:name="_GoBack"/>
      <w:bookmarkEnd w:id="0"/>
      <w:r>
        <w:rPr>
          <w:rFonts w:hint="default" w:ascii="仿宋" w:hAnsi="仿宋" w:eastAsia="仿宋" w:cs="仿宋"/>
          <w:sz w:val="32"/>
          <w:szCs w:val="32"/>
          <w:lang w:val="en-US" w:eastAsia="zh-CN"/>
        </w:rPr>
        <w:t>司会员和客户可以在所有已挂牌期权合约上向做市商询价。询价请求应当指明合约代码，对同一期权合约的询价时间间隔不应低于60秒。当某一期权合约最优买卖价差小于等于如下表所示价差时，不得询价。</w:t>
      </w: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rPr>
        <w:t>表</w:t>
      </w:r>
      <w:r>
        <w:rPr>
          <w:rFonts w:hint="eastAsia" w:ascii="仿宋" w:hAnsi="仿宋" w:eastAsia="仿宋" w:cs="仿宋"/>
          <w:sz w:val="24"/>
          <w:szCs w:val="24"/>
          <w:lang w:val="en-US" w:eastAsia="zh-CN"/>
        </w:rPr>
        <w:t>四</w:t>
      </w:r>
      <w:r>
        <w:rPr>
          <w:rFonts w:hint="eastAsia" w:ascii="仿宋" w:hAnsi="仿宋" w:eastAsia="仿宋" w:cs="仿宋"/>
          <w:sz w:val="24"/>
          <w:szCs w:val="24"/>
        </w:rPr>
        <w:t>：</w:t>
      </w:r>
      <w:r>
        <w:rPr>
          <w:rFonts w:hint="eastAsia" w:ascii="仿宋" w:hAnsi="仿宋" w:eastAsia="仿宋" w:cs="仿宋"/>
          <w:sz w:val="24"/>
          <w:szCs w:val="24"/>
          <w:lang w:eastAsia="zh-CN"/>
        </w:rPr>
        <w:t>铸造铝合金期权</w:t>
      </w:r>
      <w:r>
        <w:rPr>
          <w:rFonts w:hint="eastAsia" w:ascii="仿宋" w:hAnsi="仿宋" w:eastAsia="仿宋" w:cs="仿宋"/>
          <w:sz w:val="24"/>
          <w:szCs w:val="24"/>
          <w:lang w:val="en-US" w:eastAsia="zh-CN"/>
        </w:rPr>
        <w:t>回应报价相关参数</w:t>
      </w:r>
    </w:p>
    <w:tbl>
      <w:tblPr>
        <w:tblStyle w:val="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33"/>
        <w:gridCol w:w="4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申报买价（单位：元/吨）</w:t>
            </w:r>
          </w:p>
        </w:tc>
        <w:tc>
          <w:tcPr>
            <w:tcW w:w="2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价差（单位：元/吨）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申报买价＜300</w:t>
            </w:r>
          </w:p>
        </w:tc>
        <w:tc>
          <w:tcPr>
            <w:tcW w:w="2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Max（申报买价×12%，30）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300≤申报买价＜600</w:t>
            </w:r>
          </w:p>
        </w:tc>
        <w:tc>
          <w:tcPr>
            <w:tcW w:w="2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Max（申报买价×10%，36）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申报买价≥600</w:t>
            </w:r>
          </w:p>
        </w:tc>
        <w:tc>
          <w:tcPr>
            <w:tcW w:w="2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Max（申报买价×8%，60）</w:t>
            </w:r>
          </w:p>
        </w:tc>
      </w:tr>
    </w:tbl>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期权交易权限开通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期权交易权限开通</w:t>
      </w:r>
      <w:r>
        <w:rPr>
          <w:rFonts w:hint="default" w:ascii="仿宋" w:hAnsi="仿宋" w:eastAsia="仿宋" w:cs="仿宋"/>
          <w:sz w:val="32"/>
          <w:szCs w:val="32"/>
          <w:lang w:val="en-US" w:eastAsia="zh-CN"/>
        </w:rPr>
        <w:t>按照《上海期货交易所交易者适当性管理办法》的有关规定。</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如有疑问，可联系客户经理或致电客服热线4008885398。新品种上市，市场不确定性因素较多，请您充分认识</w:t>
      </w:r>
      <w:r>
        <w:rPr>
          <w:rFonts w:hint="eastAsia" w:ascii="仿宋" w:hAnsi="仿宋" w:eastAsia="仿宋" w:cs="仿宋"/>
          <w:sz w:val="32"/>
          <w:szCs w:val="32"/>
          <w:lang w:eastAsia="zh-CN"/>
        </w:rPr>
        <w:t>期权</w:t>
      </w:r>
      <w:r>
        <w:rPr>
          <w:rFonts w:hint="eastAsia" w:ascii="仿宋" w:hAnsi="仿宋" w:eastAsia="仿宋" w:cs="仿宋"/>
          <w:sz w:val="32"/>
          <w:szCs w:val="32"/>
        </w:rPr>
        <w:t>交易风险，理性投资，谨慎运作。</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特此通知！</w:t>
      </w:r>
    </w:p>
    <w:p>
      <w:pPr>
        <w:jc w:val="right"/>
        <w:rPr>
          <w:rFonts w:hint="eastAsia" w:ascii="仿宋" w:hAnsi="仿宋" w:eastAsia="仿宋" w:cs="仿宋"/>
          <w:sz w:val="32"/>
          <w:szCs w:val="32"/>
        </w:rPr>
      </w:pPr>
    </w:p>
    <w:p>
      <w:pPr>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五矿期货有限公司</w:t>
      </w:r>
    </w:p>
    <w:p>
      <w:pPr>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w:t>
      </w:r>
    </w:p>
    <w:p>
      <w:pPr>
        <w:jc w:val="right"/>
        <w:rPr>
          <w:rFonts w:hint="eastAsia" w:ascii="仿宋" w:hAnsi="仿宋" w:eastAsia="仿宋" w:cs="仿宋"/>
          <w:sz w:val="32"/>
          <w:szCs w:val="32"/>
        </w:rPr>
      </w:pPr>
    </w:p>
    <w:p>
      <w:pPr>
        <w:jc w:val="left"/>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165345"/>
    <w:multiLevelType w:val="singleLevel"/>
    <w:tmpl w:val="B6165345"/>
    <w:lvl w:ilvl="0" w:tentative="0">
      <w:start w:val="4"/>
      <w:numFmt w:val="chineseCounting"/>
      <w:suff w:val="nothing"/>
      <w:lvlText w:val="%1、"/>
      <w:lvlJc w:val="left"/>
      <w:rPr>
        <w:rFonts w:hint="eastAsia"/>
      </w:rPr>
    </w:lvl>
  </w:abstractNum>
  <w:abstractNum w:abstractNumId="1">
    <w:nsid w:val="3054C01F"/>
    <w:multiLevelType w:val="singleLevel"/>
    <w:tmpl w:val="3054C01F"/>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6D1FFE"/>
    <w:rsid w:val="193F2A60"/>
    <w:rsid w:val="211E61E7"/>
    <w:rsid w:val="22D94376"/>
    <w:rsid w:val="25A861C6"/>
    <w:rsid w:val="3008495C"/>
    <w:rsid w:val="33CC559F"/>
    <w:rsid w:val="40D12677"/>
    <w:rsid w:val="40DE6B9E"/>
    <w:rsid w:val="584F5CDF"/>
    <w:rsid w:val="6AD62C1F"/>
    <w:rsid w:val="70B53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2024-08-19T08:51:00Z</dcterms:created>
  <dc:creator>Administrator</dc:creator>
  <cp:lastModifiedBy>Administrator</cp:lastModifiedBy>
  <dcterms:modified xsi:type="dcterms:W3CDTF">2025-05-26T18:24:54Z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0FA325A0B8F04C95A61846A3FC4C13CD</vt:lpwstr>
  </property>
</Properties>
</file>