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关于202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年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  <w:t>劳动节假期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调整相关品种期货合约涨跌停板幅度和交易保证金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  <w:t>标准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劳动节</w:t>
      </w:r>
      <w:r>
        <w:rPr>
          <w:rFonts w:hint="eastAsia" w:ascii="仿宋_GB2312" w:eastAsia="仿宋_GB2312"/>
          <w:sz w:val="32"/>
          <w:szCs w:val="32"/>
        </w:rPr>
        <w:t>假期即将来临，现将有关交易时间安排及保证金标准调整事项通知如下：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一、假期夜盘及休市安排</w:t>
      </w:r>
    </w:p>
    <w:tbl>
      <w:tblPr>
        <w:tblStyle w:val="5"/>
        <w:tblW w:w="0" w:type="auto"/>
        <w:tblInd w:w="755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1"/>
        <w:gridCol w:w="4991"/>
      </w:tblGrid>
      <w:tr>
        <w:trPr>
          <w:tblHeader/>
        </w:trPr>
        <w:tc>
          <w:tcPr>
            <w:tcW w:w="420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具体安排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c>
          <w:tcPr>
            <w:tcW w:w="420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日（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星期四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当晚不进行夜盘交易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184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月1日（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星期五）—5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日（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星期二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全天休市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（共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天）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622" w:hRule="atLeast"/>
        </w:trPr>
        <w:tc>
          <w:tcPr>
            <w:tcW w:w="420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日（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星期三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 08:55-09:00：所有商品期货、期权合约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进行集合竞价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 当晚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恢复夜盘交易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二、保证金及涨跌停板调整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（一）节前调整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）结算时起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eastAsia="仿宋_GB2312"/>
          <w:sz w:val="32"/>
          <w:szCs w:val="32"/>
        </w:rPr>
        <w:t>调整部分期货品种合约的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交易保证金标准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（详见附表）。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）结算时起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交易所</w:t>
      </w:r>
      <w:r>
        <w:rPr>
          <w:rFonts w:hint="eastAsia" w:ascii="仿宋_GB2312" w:eastAsia="仿宋_GB2312"/>
          <w:sz w:val="32"/>
          <w:szCs w:val="32"/>
        </w:rPr>
        <w:t>调整部分期货品种合约的涨跌停板幅度和交易保证金标准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（详见附表）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（二）节后调整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2026年5月6日（星期三）恢复交易后，自第一个未出现单边市的交易日收盘结算时起，将会调整部分期货品种的交易保证金标准和涨跌停板幅度，其余恢复至节前标准（详见附表）。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（三）特殊执行规则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如遇上述涨跌停板幅度、交易保证金标准与执行的涨跌停板幅度、交易保证金标准不同时，则按两者中幅度大、标准高的执行。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本次长假，我司取消客户的公司保证金优惠，与公司另有约定的按照约定标准执行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三、重要风险提示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假期市场不确定性因素较多，敬请您：及时调整持仓结构，避免过度持仓；提前做好资金安排，确保账户资金充足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警惕节后市场累积风险集中爆发。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祝您假期愉快！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五矿期货有限公司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360" w:lineRule="auto"/>
        <w:jc w:val="right"/>
        <w:rPr>
          <w:rFonts w:hint="eastAsia" w:ascii="仿宋_GB2312" w:eastAsia="仿宋_GB2312"/>
          <w:sz w:val="22"/>
        </w:rPr>
      </w:pPr>
    </w:p>
    <w:p>
      <w:pPr>
        <w:spacing w:line="360" w:lineRule="auto"/>
        <w:jc w:val="both"/>
        <w:rPr>
          <w:rFonts w:hint="eastAsia" w:ascii="仿宋_GB2312" w:eastAsia="仿宋_GB2312"/>
          <w:sz w:val="22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621"/>
        <w:gridCol w:w="844"/>
        <w:gridCol w:w="810"/>
        <w:gridCol w:w="812"/>
        <w:gridCol w:w="810"/>
        <w:gridCol w:w="816"/>
        <w:gridCol w:w="844"/>
        <w:gridCol w:w="810"/>
        <w:gridCol w:w="812"/>
        <w:gridCol w:w="844"/>
        <w:gridCol w:w="850"/>
      </w:tblGrid>
      <w:tr>
        <w:trPr>
          <w:trHeight w:val="820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2026年劳动保证金收取标准和涨跌停板幅度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交易所</w:t>
            </w:r>
          </w:p>
        </w:tc>
        <w:tc>
          <w:tcPr>
            <w:tcW w:w="75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品种</w:t>
            </w:r>
          </w:p>
        </w:tc>
        <w:tc>
          <w:tcPr>
            <w:tcW w:w="1914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长假期间标准（%）</w:t>
            </w:r>
          </w:p>
        </w:tc>
        <w:tc>
          <w:tcPr>
            <w:tcW w:w="1946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长假后标准（%）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涨跌停板</w:t>
            </w:r>
          </w:p>
        </w:tc>
        <w:tc>
          <w:tcPr>
            <w:tcW w:w="75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交易保证金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公司标准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涨跌停板</w:t>
            </w:r>
          </w:p>
        </w:tc>
        <w:tc>
          <w:tcPr>
            <w:tcW w:w="75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交易保证金</w:t>
            </w:r>
          </w:p>
        </w:tc>
        <w:tc>
          <w:tcPr>
            <w:tcW w:w="79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公司标准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投机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套保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投机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套保</w:t>
            </w:r>
          </w:p>
        </w:tc>
        <w:tc>
          <w:tcPr>
            <w:tcW w:w="39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投机</w:t>
            </w:r>
          </w:p>
        </w:tc>
        <w:tc>
          <w:tcPr>
            <w:tcW w:w="3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套保</w:t>
            </w:r>
          </w:p>
        </w:tc>
        <w:tc>
          <w:tcPr>
            <w:tcW w:w="3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投机</w:t>
            </w:r>
          </w:p>
        </w:tc>
        <w:tc>
          <w:tcPr>
            <w:tcW w:w="3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套保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上期所</w:t>
            </w: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cu2703、2704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al2703、2704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氧化铝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ao2703、2704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铸造铝合金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ad2703、2704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zn2703、2704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pb2703、2704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ni2704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锡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sn2704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螺纹钢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rb2703、2704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线材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wr2703、2704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热轧卷板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hc2703、2704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ss2703、2704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纸浆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sp2704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胶版印刷纸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op2704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天然橡胶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ru2704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能源中心</w:t>
            </w: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20号胶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nr2704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国际铜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bc2703、2704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大商所</w:t>
            </w: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玉米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玉米淀粉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豆一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豆二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豆粕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豆油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棕榈油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p2606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聚乙烯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聚氯乙烯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聚丙烯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铁矿石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乙二醇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eg2605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eg2606-2609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eb2605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eb2606-2609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纯苯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bz2605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bz2606-2609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生猪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郑商所</w:t>
            </w: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白糖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棉花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菜籽粕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菜籽油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OI2605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棉纱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苹果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红枣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PTA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FG2605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硅铁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锰硅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尿素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UR2605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纯碱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SA2605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短纤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PF2605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PF2606-2609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花生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对二甲苯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PX2605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PX2606-2609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烧碱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SH2605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SH2606、2607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瓶片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PR2606-2609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丙烯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PL2605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PL2606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PL2607-2609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广期所</w:t>
            </w: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工业硅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碳酸锂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多晶硅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ps2605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铂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</w:tr>
      <w:tr>
        <w:trPr>
          <w:trHeight w:val="330" w:hRule="atLeast"/>
        </w:trPr>
        <w:tc>
          <w:tcPr>
            <w:tcW w:w="3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钯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</w:tr>
      <w:bookmarkEnd w:id="0"/>
    </w:tbl>
    <w:p>
      <w:pPr>
        <w:spacing w:line="360" w:lineRule="auto"/>
        <w:jc w:val="both"/>
        <w:rPr>
          <w:rFonts w:hint="eastAsia" w:ascii="仿宋_GB2312" w:eastAsia="仿宋_GB2312"/>
          <w:sz w:val="22"/>
        </w:rPr>
      </w:pPr>
    </w:p>
    <w:p>
      <w:pPr>
        <w:spacing w:line="360" w:lineRule="auto"/>
        <w:jc w:val="right"/>
        <w:rPr>
          <w:rFonts w:hint="eastAsia" w:ascii="仿宋_GB2312" w:eastAsia="仿宋_GB2312"/>
          <w:sz w:val="22"/>
        </w:rPr>
      </w:pPr>
    </w:p>
    <w:p>
      <w:pPr>
        <w:spacing w:line="360" w:lineRule="auto"/>
        <w:jc w:val="right"/>
        <w:rPr>
          <w:rFonts w:hint="eastAsia" w:ascii="仿宋_GB2312" w:eastAsia="仿宋_GB2312"/>
          <w:sz w:val="22"/>
        </w:rPr>
      </w:pPr>
    </w:p>
    <w:p>
      <w:pPr>
        <w:spacing w:line="360" w:lineRule="auto"/>
        <w:jc w:val="right"/>
        <w:rPr>
          <w:rFonts w:hint="eastAsia" w:ascii="仿宋_GB2312" w:eastAsia="仿宋_GB2312"/>
          <w:sz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C3"/>
    <w:rsid w:val="00036EA1"/>
    <w:rsid w:val="0005608A"/>
    <w:rsid w:val="000A4C4A"/>
    <w:rsid w:val="000C2C8B"/>
    <w:rsid w:val="000D2029"/>
    <w:rsid w:val="000E2726"/>
    <w:rsid w:val="00140F31"/>
    <w:rsid w:val="001A29A8"/>
    <w:rsid w:val="001A67C2"/>
    <w:rsid w:val="00274171"/>
    <w:rsid w:val="002B266B"/>
    <w:rsid w:val="00351E80"/>
    <w:rsid w:val="00416BD1"/>
    <w:rsid w:val="00427D0E"/>
    <w:rsid w:val="004652C3"/>
    <w:rsid w:val="0051123A"/>
    <w:rsid w:val="00513CEC"/>
    <w:rsid w:val="00540F25"/>
    <w:rsid w:val="005C4EEE"/>
    <w:rsid w:val="00613D2F"/>
    <w:rsid w:val="006B68AC"/>
    <w:rsid w:val="006D5236"/>
    <w:rsid w:val="006E5FCD"/>
    <w:rsid w:val="00710732"/>
    <w:rsid w:val="00712C59"/>
    <w:rsid w:val="007259DB"/>
    <w:rsid w:val="00755EE4"/>
    <w:rsid w:val="007A31AE"/>
    <w:rsid w:val="00864C5D"/>
    <w:rsid w:val="00874B4D"/>
    <w:rsid w:val="00903F41"/>
    <w:rsid w:val="00931637"/>
    <w:rsid w:val="00981CCD"/>
    <w:rsid w:val="009839D1"/>
    <w:rsid w:val="00984AB2"/>
    <w:rsid w:val="00A35C05"/>
    <w:rsid w:val="00A65B62"/>
    <w:rsid w:val="00A7106D"/>
    <w:rsid w:val="00AD46FD"/>
    <w:rsid w:val="00B27539"/>
    <w:rsid w:val="00B5353A"/>
    <w:rsid w:val="00BA45B1"/>
    <w:rsid w:val="00BC0933"/>
    <w:rsid w:val="00BE2FAB"/>
    <w:rsid w:val="00C6511A"/>
    <w:rsid w:val="00C72D4F"/>
    <w:rsid w:val="00C74AC2"/>
    <w:rsid w:val="00C92C63"/>
    <w:rsid w:val="00C956CD"/>
    <w:rsid w:val="00DC3EFE"/>
    <w:rsid w:val="00E32421"/>
    <w:rsid w:val="00E4764A"/>
    <w:rsid w:val="00E67656"/>
    <w:rsid w:val="00E84A39"/>
    <w:rsid w:val="00E84ECF"/>
    <w:rsid w:val="00ED7600"/>
    <w:rsid w:val="00EE77C6"/>
    <w:rsid w:val="00F1761F"/>
    <w:rsid w:val="00F561E5"/>
    <w:rsid w:val="00F701CA"/>
    <w:rsid w:val="00FC7775"/>
    <w:rsid w:val="00FD526F"/>
    <w:rsid w:val="02FA3FD5"/>
    <w:rsid w:val="047253DA"/>
    <w:rsid w:val="05460464"/>
    <w:rsid w:val="05F71971"/>
    <w:rsid w:val="06282777"/>
    <w:rsid w:val="0C790A16"/>
    <w:rsid w:val="13833B71"/>
    <w:rsid w:val="18401781"/>
    <w:rsid w:val="198B5CDE"/>
    <w:rsid w:val="1C315EB7"/>
    <w:rsid w:val="1D7A031A"/>
    <w:rsid w:val="1DDD3A2E"/>
    <w:rsid w:val="1F6A5D4C"/>
    <w:rsid w:val="25A6334E"/>
    <w:rsid w:val="25BC5275"/>
    <w:rsid w:val="39153F09"/>
    <w:rsid w:val="45932B5C"/>
    <w:rsid w:val="4F990D83"/>
    <w:rsid w:val="57CF74AB"/>
    <w:rsid w:val="582075A5"/>
    <w:rsid w:val="597C2C5B"/>
    <w:rsid w:val="5E7056D7"/>
    <w:rsid w:val="618A4F4C"/>
    <w:rsid w:val="61922D32"/>
    <w:rsid w:val="62700E0F"/>
    <w:rsid w:val="62C66B6B"/>
    <w:rsid w:val="636C7B02"/>
    <w:rsid w:val="6B5A6C4F"/>
    <w:rsid w:val="6EC05182"/>
    <w:rsid w:val="798E53C8"/>
    <w:rsid w:val="7D494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954F72"/>
      <w:u w:val="single"/>
    </w:rPr>
  </w:style>
  <w:style w:type="character" w:styleId="9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6"/>
    <w:link w:val="4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6">
    <w:name w:val="font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7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843</Words>
  <Characters>1057</Characters>
  <Lines>1176</Lines>
  <Paragraphs>964</Paragraphs>
  <TotalTime>2</TotalTime>
  <ScaleCrop>false</ScaleCrop>
  <LinksUpToDate>false</LinksUpToDate>
  <CharactersWithSpaces>1273</CharactersWithSpaces>
  <Application>WPS Office_11.8.2.12086_F1E327BC-269C-435d-A152-05C5408002CA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2024-04-26T01:28:00Z</dcterms:created>
  <dc:creator>report</dc:creator>
  <cp:lastModifiedBy>baikl</cp:lastModifiedBy>
  <cp:lastPrinted>2024-04-26T01:19:00Z</cp:lastPrinted>
  <dcterms:modified xsi:type="dcterms:W3CDTF">2026-04-27T17:05:22Z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3615A6C3D8BB4F1FBE4A02D851359249</vt:lpwstr>
  </property>
  <property fmtid="{D5CDD505-2E9C-101B-9397-08002B2CF9AE}" pid="4" name="KSOTemplateDocerSaveRecord">
    <vt:lpwstr>eyJoZGlkIjoiMWRmYzMyNTAwZjFhYmY2OTU4YzdhMmE4OGQ0YzFlMjgiLCJ1c2VySWQiOiIzODg2NTY1NzUifQ==</vt:lpwstr>
  </property>
</Properties>
</file>