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F78" w:rsidRPr="00A76C08" w:rsidRDefault="00AF4F78" w:rsidP="00AF4F78">
      <w:pPr>
        <w:widowControl/>
        <w:jc w:val="center"/>
        <w:rPr>
          <w:rFonts w:ascii="黑体" w:eastAsia="黑体" w:hAnsi="Arial" w:cs="Arial" w:hint="eastAsia"/>
          <w:bCs/>
          <w:kern w:val="0"/>
          <w:sz w:val="44"/>
          <w:szCs w:val="44"/>
        </w:rPr>
      </w:pPr>
      <w:bookmarkStart w:id="0" w:name="_GoBack"/>
      <w:r w:rsidRPr="00A76C08">
        <w:rPr>
          <w:rFonts w:ascii="黑体" w:eastAsia="黑体" w:hAnsi="Arial" w:cs="Arial" w:hint="eastAsia"/>
          <w:bCs/>
          <w:kern w:val="0"/>
          <w:sz w:val="44"/>
          <w:szCs w:val="44"/>
        </w:rPr>
        <w:t>大连商品交易所套利交易管理办法</w:t>
      </w:r>
    </w:p>
    <w:bookmarkEnd w:id="0"/>
    <w:p w:rsidR="00AF4F78" w:rsidRPr="00A76C08" w:rsidRDefault="00AF4F78">
      <w:pPr>
        <w:rPr>
          <w:rFonts w:ascii="仿宋_GB2312" w:eastAsia="仿宋_GB2312" w:hint="eastAsia"/>
          <w:sz w:val="30"/>
          <w:szCs w:val="30"/>
        </w:rPr>
      </w:pPr>
    </w:p>
    <w:p w:rsidR="00AF4F78" w:rsidRPr="00A76C08" w:rsidRDefault="00AF4F78" w:rsidP="00AF4F78">
      <w:pPr>
        <w:widowControl/>
        <w:spacing w:line="375" w:lineRule="atLeast"/>
        <w:jc w:val="center"/>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第一章</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总则</w:t>
      </w:r>
    </w:p>
    <w:p w:rsidR="00A76C08" w:rsidRPr="00A76C08" w:rsidRDefault="00A76C08" w:rsidP="00AF4F78">
      <w:pPr>
        <w:widowControl/>
        <w:spacing w:line="375" w:lineRule="atLeast"/>
        <w:jc w:val="left"/>
        <w:rPr>
          <w:rFonts w:ascii="仿宋_GB2312" w:eastAsia="仿宋_GB2312" w:hAnsi="宋体" w:cs="宋体" w:hint="eastAsia"/>
          <w:kern w:val="0"/>
          <w:sz w:val="30"/>
          <w:szCs w:val="30"/>
        </w:rPr>
      </w:pP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第一条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为规范套利交易业务管理，促进期货市场规范发展，根据《大连商品交易所交易规则》等有关规定制定本办法。</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本办法所称套利交易按照品种的不同，分为跨期套利和</w:t>
      </w:r>
      <w:proofErr w:type="gramStart"/>
      <w:r w:rsidRPr="00A76C08">
        <w:rPr>
          <w:rFonts w:ascii="仿宋_GB2312" w:eastAsia="仿宋_GB2312" w:hAnsi="宋体" w:cs="宋体" w:hint="eastAsia"/>
          <w:kern w:val="0"/>
          <w:sz w:val="30"/>
          <w:szCs w:val="30"/>
        </w:rPr>
        <w:t>跨品种</w:t>
      </w:r>
      <w:proofErr w:type="gramEnd"/>
      <w:r w:rsidRPr="00A76C08">
        <w:rPr>
          <w:rFonts w:ascii="仿宋_GB2312" w:eastAsia="仿宋_GB2312" w:hAnsi="宋体" w:cs="宋体" w:hint="eastAsia"/>
          <w:kern w:val="0"/>
          <w:sz w:val="30"/>
          <w:szCs w:val="30"/>
        </w:rPr>
        <w:t>套利。跨期套利是指同一品种不同合约间的套利交易。</w:t>
      </w:r>
      <w:proofErr w:type="gramStart"/>
      <w:r w:rsidRPr="00A76C08">
        <w:rPr>
          <w:rFonts w:ascii="仿宋_GB2312" w:eastAsia="仿宋_GB2312" w:hAnsi="宋体" w:cs="宋体" w:hint="eastAsia"/>
          <w:kern w:val="0"/>
          <w:sz w:val="30"/>
          <w:szCs w:val="30"/>
        </w:rPr>
        <w:t>跨品种</w:t>
      </w:r>
      <w:proofErr w:type="gramEnd"/>
      <w:r w:rsidRPr="00A76C08">
        <w:rPr>
          <w:rFonts w:ascii="仿宋_GB2312" w:eastAsia="仿宋_GB2312" w:hAnsi="宋体" w:cs="宋体" w:hint="eastAsia"/>
          <w:kern w:val="0"/>
          <w:sz w:val="30"/>
          <w:szCs w:val="30"/>
        </w:rPr>
        <w:t>套利是指不同品种合约间的套利交易。</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按照合约月份的不同，套利交易可分为一般月份套利交易(自合约上市之日起至交割月份前第一个月最后一个交易日)和交割月份套利交易。</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第三条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交易所应及时公布适用于套利交易的品种、合约和组合方式。</w:t>
      </w:r>
    </w:p>
    <w:p w:rsidR="00AF4F7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第四条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会员、客户在大连商品交易所（以下简称交易所）从事套利交易业务，应当遵守本办法。</w:t>
      </w:r>
    </w:p>
    <w:p w:rsidR="00A76C08" w:rsidRPr="00A76C08" w:rsidRDefault="00A76C08" w:rsidP="00AF4F78">
      <w:pPr>
        <w:widowControl/>
        <w:spacing w:line="375" w:lineRule="atLeast"/>
        <w:jc w:val="center"/>
        <w:rPr>
          <w:rFonts w:ascii="仿宋_GB2312" w:eastAsia="仿宋_GB2312" w:hAnsi="宋体" w:cs="宋体" w:hint="eastAsia"/>
          <w:kern w:val="0"/>
          <w:sz w:val="30"/>
          <w:szCs w:val="30"/>
        </w:rPr>
      </w:pPr>
    </w:p>
    <w:p w:rsidR="00AF4F78" w:rsidRPr="00A76C08" w:rsidRDefault="00AF4F78" w:rsidP="00AF4F78">
      <w:pPr>
        <w:widowControl/>
        <w:spacing w:line="375" w:lineRule="atLeast"/>
        <w:jc w:val="center"/>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第二章　套利持仓</w:t>
      </w:r>
    </w:p>
    <w:p w:rsidR="00A76C08" w:rsidRPr="00A76C08" w:rsidRDefault="00A76C08" w:rsidP="00AF4F78">
      <w:pPr>
        <w:widowControl/>
        <w:spacing w:line="375" w:lineRule="atLeast"/>
        <w:jc w:val="left"/>
        <w:rPr>
          <w:rFonts w:ascii="仿宋_GB2312" w:eastAsia="仿宋_GB2312" w:hAnsi="宋体" w:cs="宋体" w:hint="eastAsia"/>
          <w:kern w:val="0"/>
          <w:sz w:val="30"/>
          <w:szCs w:val="30"/>
        </w:rPr>
      </w:pP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第五条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非期货公司会员和客户套利持仓与投机持仓合计不得超过交易所规定的投机持仓限额。非期货公司会员和客户可</w:t>
      </w:r>
      <w:r w:rsidRPr="00A76C08">
        <w:rPr>
          <w:rFonts w:ascii="仿宋_GB2312" w:eastAsia="仿宋_GB2312" w:hAnsi="宋体" w:cs="宋体" w:hint="eastAsia"/>
          <w:kern w:val="0"/>
          <w:sz w:val="30"/>
          <w:szCs w:val="30"/>
        </w:rPr>
        <w:lastRenderedPageBreak/>
        <w:t>以申请增加套利持仓额度。已获得套期保值交易资格的客户不得申请相关品种的套利持仓增加额度。</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第六条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申请增加套利持仓额度的客户应当向其开户的期货公司会员申报，由期货公司会员进行审核后，按本办法向交易所办理申报手续；申请增加套利持仓额度的非期货公司会员直接向交易所办理申报手续。</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第七条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申请增加一般月份套利持仓额度的非期货公司会员或客户，应当提交下列材料：</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（一）增加套利持仓额度申请表，主要包括申请人基本信息、申请品种、数量，套利交易策略及交易所要求的其他信息；</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（二）交易所要求的其他材料。</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非期货公司会员或</w:t>
      </w:r>
      <w:proofErr w:type="gramStart"/>
      <w:r w:rsidRPr="00A76C08">
        <w:rPr>
          <w:rFonts w:ascii="仿宋_GB2312" w:eastAsia="仿宋_GB2312" w:hAnsi="宋体" w:cs="宋体" w:hint="eastAsia"/>
          <w:kern w:val="0"/>
          <w:sz w:val="30"/>
          <w:szCs w:val="30"/>
        </w:rPr>
        <w:t>客户获批一般</w:t>
      </w:r>
      <w:proofErr w:type="gramEnd"/>
      <w:r w:rsidRPr="00A76C08">
        <w:rPr>
          <w:rFonts w:ascii="仿宋_GB2312" w:eastAsia="仿宋_GB2312" w:hAnsi="宋体" w:cs="宋体" w:hint="eastAsia"/>
          <w:kern w:val="0"/>
          <w:sz w:val="30"/>
          <w:szCs w:val="30"/>
        </w:rPr>
        <w:t>月份套利持仓增加额度适用于申请品种的所有一般月份合约。</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第八条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申请增加交割月份套利持仓额度的非期货公司会员或客户，应当向交易所提交下列材料：</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（一）增加套利持仓额度申请表，主要包括申请人基本信息、申请品种、合约、数量，套利交易策略及交易所要求的其他信息；</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（二）申请合约价差偏离情况分析；</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（三）交易所要求的其他材料。</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非期货公司会员或</w:t>
      </w:r>
      <w:proofErr w:type="gramStart"/>
      <w:r w:rsidRPr="00A76C08">
        <w:rPr>
          <w:rFonts w:ascii="仿宋_GB2312" w:eastAsia="仿宋_GB2312" w:hAnsi="宋体" w:cs="宋体" w:hint="eastAsia"/>
          <w:kern w:val="0"/>
          <w:sz w:val="30"/>
          <w:szCs w:val="30"/>
        </w:rPr>
        <w:t>客户获</w:t>
      </w:r>
      <w:proofErr w:type="gramEnd"/>
      <w:r w:rsidRPr="00A76C08">
        <w:rPr>
          <w:rFonts w:ascii="仿宋_GB2312" w:eastAsia="仿宋_GB2312" w:hAnsi="宋体" w:cs="宋体" w:hint="eastAsia"/>
          <w:kern w:val="0"/>
          <w:sz w:val="30"/>
          <w:szCs w:val="30"/>
        </w:rPr>
        <w:t>批交割月份套利持仓增加额度仅适用于申请合约。</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lastRenderedPageBreak/>
        <w:t xml:space="preserve">　　第九条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申请增加交割月份套利持仓额度的截止日为套利持仓中近月合约交割月份前第一个月的最后交易日，逾期交易所不再受理该合约交割月份套利持仓额度的申请。</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交易所对增加一般月份套利持仓额度的申请，按资信情况、历史交易状况、套利持仓使用情况等进行审核，确定其一般月份套利持仓增加额度。</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交易所对增加交割月份套利持仓额度的申请，按资信情况、历史交易状况、合约持仓状况、可供交割品数量、申请合约价差是否背离等情况进行审核，确定其交割月份套利持仓增加额度。</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第十一条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对增加一般月份套利持仓额度的申请，交易所在收到完整的申请材料后5个工作日内进行审核，并予以答复。对增加交割月份套利持仓额度的申请，交易所在收到完整的申请材料后，于套利持仓近月合约交割月前第一个月的第一个交易日起进行审核，并在5个交易日内予以答复。</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第十二条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非期货公司会员和客户需要调整套利持仓额度时，应当及时向交易所提出变更申请。</w:t>
      </w:r>
    </w:p>
    <w:p w:rsidR="00AF4F7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第十三条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交易所可以根据市场情况对非期货公司会员和客户套利持仓增加额度进行调整。</w:t>
      </w:r>
    </w:p>
    <w:p w:rsidR="00A76C08" w:rsidRPr="00A76C08" w:rsidRDefault="00A76C08" w:rsidP="00AF4F78">
      <w:pPr>
        <w:widowControl/>
        <w:spacing w:line="375" w:lineRule="atLeast"/>
        <w:jc w:val="center"/>
        <w:rPr>
          <w:rFonts w:ascii="仿宋_GB2312" w:eastAsia="仿宋_GB2312" w:hAnsi="宋体" w:cs="宋体" w:hint="eastAsia"/>
          <w:kern w:val="0"/>
          <w:sz w:val="30"/>
          <w:szCs w:val="30"/>
        </w:rPr>
      </w:pPr>
    </w:p>
    <w:p w:rsidR="00AF4F78" w:rsidRPr="00A76C08" w:rsidRDefault="00AF4F78" w:rsidP="00AF4F78">
      <w:pPr>
        <w:widowControl/>
        <w:spacing w:line="375" w:lineRule="atLeast"/>
        <w:jc w:val="center"/>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第三章 套利交易保证金、盈亏和手续费</w:t>
      </w:r>
    </w:p>
    <w:p w:rsidR="00A76C08" w:rsidRPr="00A76C08" w:rsidRDefault="00A76C08" w:rsidP="00AF4F78">
      <w:pPr>
        <w:widowControl/>
        <w:spacing w:line="375" w:lineRule="atLeast"/>
        <w:jc w:val="left"/>
        <w:rPr>
          <w:rFonts w:ascii="仿宋_GB2312" w:eastAsia="仿宋_GB2312" w:hAnsi="宋体" w:cs="宋体" w:hint="eastAsia"/>
          <w:kern w:val="0"/>
          <w:sz w:val="30"/>
          <w:szCs w:val="30"/>
        </w:rPr>
      </w:pP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lastRenderedPageBreak/>
        <w:t xml:space="preserve">　　第十四条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交易所应当制定套利交易保证金的收取标准，并向市场公布。交易所可以根据市场情况调整套利交易保证金标准。</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第十五条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交易期间，以交易所规定的套利交易指令建立的持仓按前一个交易日结算时的标准收取套利交易保证金，保证金不足的按照《大连商品交易所结算细则》等规则规定执行。</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第十六条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结算时，交易所对同一交易编码下的所有持仓按照先跨期、</w:t>
      </w:r>
      <w:proofErr w:type="gramStart"/>
      <w:r w:rsidRPr="00A76C08">
        <w:rPr>
          <w:rFonts w:ascii="仿宋_GB2312" w:eastAsia="仿宋_GB2312" w:hAnsi="宋体" w:cs="宋体" w:hint="eastAsia"/>
          <w:kern w:val="0"/>
          <w:sz w:val="30"/>
          <w:szCs w:val="30"/>
        </w:rPr>
        <w:t>后跨品种</w:t>
      </w:r>
      <w:proofErr w:type="gramEnd"/>
      <w:r w:rsidRPr="00A76C08">
        <w:rPr>
          <w:rFonts w:ascii="仿宋_GB2312" w:eastAsia="仿宋_GB2312" w:hAnsi="宋体" w:cs="宋体" w:hint="eastAsia"/>
          <w:kern w:val="0"/>
          <w:sz w:val="30"/>
          <w:szCs w:val="30"/>
        </w:rPr>
        <w:t>的原则，根据合约距离交割月份由近到远的顺序进行组合，收取套利交易保证金。</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第十七条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套利持仓平仓时，先返还套利持仓交易保证金，再收取未平仓合约交易保证金。</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第十八条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套利交易的持仓盈亏和平仓盈亏的计算根据《大连商品交易所结算细则》相关规定执行。</w:t>
      </w:r>
    </w:p>
    <w:p w:rsidR="00AF4F7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第十九条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交易所可以对套利交易的手续费采取优惠措施。</w:t>
      </w:r>
    </w:p>
    <w:p w:rsidR="00A76C08" w:rsidRPr="00A76C08" w:rsidRDefault="00A76C08" w:rsidP="00AF4F78">
      <w:pPr>
        <w:widowControl/>
        <w:spacing w:line="375" w:lineRule="atLeast"/>
        <w:jc w:val="center"/>
        <w:rPr>
          <w:rFonts w:ascii="仿宋_GB2312" w:eastAsia="仿宋_GB2312" w:hAnsi="宋体" w:cs="宋体" w:hint="eastAsia"/>
          <w:kern w:val="0"/>
          <w:sz w:val="30"/>
          <w:szCs w:val="30"/>
        </w:rPr>
      </w:pPr>
    </w:p>
    <w:p w:rsidR="00AF4F78" w:rsidRPr="00A76C08" w:rsidRDefault="00AF4F78" w:rsidP="00AF4F78">
      <w:pPr>
        <w:widowControl/>
        <w:spacing w:line="375" w:lineRule="atLeast"/>
        <w:jc w:val="center"/>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第四章</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监督管理</w:t>
      </w:r>
    </w:p>
    <w:p w:rsidR="00A76C08" w:rsidRPr="00A76C08" w:rsidRDefault="00A76C08" w:rsidP="00AF4F78">
      <w:pPr>
        <w:widowControl/>
        <w:spacing w:line="375" w:lineRule="atLeast"/>
        <w:jc w:val="left"/>
        <w:rPr>
          <w:rFonts w:ascii="仿宋_GB2312" w:eastAsia="仿宋_GB2312" w:hAnsi="宋体" w:cs="宋体" w:hint="eastAsia"/>
          <w:kern w:val="0"/>
          <w:sz w:val="30"/>
          <w:szCs w:val="30"/>
        </w:rPr>
      </w:pP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第二十条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交易所对会员和客户的资信情况及期货市场交易行为可随时进行监督和调查，会员和客户应予协助和配合。</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第二十一条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非期货公司会员和客户套利持仓与投机持仓合计超过交易所规定标准的，应当在下一交易日第一节交易结束前自行调整；逾期未进行调整或调整后仍不符合要求的，交易所可以强行平仓。</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lastRenderedPageBreak/>
        <w:t xml:space="preserve">　　第二十二条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非期货公司会员和客户利用套利交易影响或者企图影响市场价格的，交易所可以对其采取谈话提醒、书面警示、调整或者取消其套利持仓增加额度、限制开仓、限期平仓、强行平仓等措施，并按《大连商品交易所违规处理办法》的有关规定处理。</w:t>
      </w:r>
    </w:p>
    <w:p w:rsidR="00AF4F7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第二十三条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非期货公司会员和客户在申请增加套利持仓额度和交易时，有欺诈或违反交易所规定行为的，交易所可以不受理其增加套利持仓额度的申请、调整或者取消已批准的套利持仓增加额度、限制开仓、限期平仓、强行平仓等处置措施，并按《大连商品交易所违规处理办法》的有关规定处理。</w:t>
      </w:r>
    </w:p>
    <w:p w:rsidR="00A76C08" w:rsidRPr="00A76C08" w:rsidRDefault="00A76C08" w:rsidP="00AF4F78">
      <w:pPr>
        <w:widowControl/>
        <w:spacing w:line="375" w:lineRule="atLeast"/>
        <w:jc w:val="center"/>
        <w:rPr>
          <w:rFonts w:ascii="仿宋_GB2312" w:eastAsia="仿宋_GB2312" w:hAnsi="宋体" w:cs="宋体" w:hint="eastAsia"/>
          <w:kern w:val="0"/>
          <w:sz w:val="30"/>
          <w:szCs w:val="30"/>
        </w:rPr>
      </w:pPr>
    </w:p>
    <w:p w:rsidR="00AF4F78" w:rsidRPr="00A76C08" w:rsidRDefault="00AF4F78" w:rsidP="00AF4F78">
      <w:pPr>
        <w:widowControl/>
        <w:spacing w:line="375" w:lineRule="atLeast"/>
        <w:jc w:val="center"/>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第五章</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附 则</w:t>
      </w:r>
    </w:p>
    <w:p w:rsidR="00A76C08" w:rsidRPr="00A76C08" w:rsidRDefault="00A76C08" w:rsidP="00AF4F78">
      <w:pPr>
        <w:widowControl/>
        <w:spacing w:line="375" w:lineRule="atLeast"/>
        <w:jc w:val="left"/>
        <w:rPr>
          <w:rFonts w:ascii="仿宋_GB2312" w:eastAsia="仿宋_GB2312" w:hAnsi="宋体" w:cs="宋体" w:hint="eastAsia"/>
          <w:kern w:val="0"/>
          <w:sz w:val="30"/>
          <w:szCs w:val="30"/>
        </w:rPr>
      </w:pP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第二十四条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本办法未作规定的，按照本所相关业务规则执行。</w:t>
      </w:r>
    </w:p>
    <w:p w:rsidR="00A76C0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第二十五条 本办法解释权属于大连商品交易所。</w:t>
      </w:r>
    </w:p>
    <w:p w:rsidR="00AF4F78" w:rsidRPr="00A76C08" w:rsidRDefault="00AF4F78" w:rsidP="00AF4F78">
      <w:pPr>
        <w:widowControl/>
        <w:spacing w:line="375" w:lineRule="atLeast"/>
        <w:jc w:val="left"/>
        <w:rPr>
          <w:rFonts w:ascii="仿宋_GB2312" w:eastAsia="仿宋_GB2312" w:hAnsi="宋体" w:cs="宋体" w:hint="eastAsia"/>
          <w:kern w:val="0"/>
          <w:sz w:val="30"/>
          <w:szCs w:val="30"/>
        </w:rPr>
      </w:pPr>
      <w:r w:rsidRPr="00A76C08">
        <w:rPr>
          <w:rFonts w:ascii="仿宋_GB2312" w:eastAsia="仿宋_GB2312" w:hAnsi="宋体" w:cs="宋体" w:hint="eastAsia"/>
          <w:kern w:val="0"/>
          <w:sz w:val="30"/>
          <w:szCs w:val="30"/>
        </w:rPr>
        <w:t xml:space="preserve">　　第二十六条</w:t>
      </w:r>
      <w:r w:rsidRPr="00A76C08">
        <w:rPr>
          <w:rFonts w:ascii="仿宋_GB2312" w:eastAsia="仿宋_GB2312" w:hAnsi="宋体" w:cs="宋体" w:hint="eastAsia"/>
          <w:kern w:val="0"/>
          <w:sz w:val="30"/>
          <w:szCs w:val="30"/>
        </w:rPr>
        <w:t> </w:t>
      </w:r>
      <w:r w:rsidRPr="00A76C08">
        <w:rPr>
          <w:rFonts w:ascii="仿宋_GB2312" w:eastAsia="仿宋_GB2312" w:hAnsi="宋体" w:cs="宋体" w:hint="eastAsia"/>
          <w:kern w:val="0"/>
          <w:sz w:val="30"/>
          <w:szCs w:val="30"/>
        </w:rPr>
        <w:t xml:space="preserve"> 本办法自公布之日起实施。</w:t>
      </w:r>
    </w:p>
    <w:p w:rsidR="00AF4F78" w:rsidRPr="00A76C08" w:rsidRDefault="00AF4F78">
      <w:pPr>
        <w:rPr>
          <w:rFonts w:ascii="仿宋_GB2312" w:eastAsia="仿宋_GB2312" w:hint="eastAsia"/>
          <w:sz w:val="30"/>
          <w:szCs w:val="30"/>
        </w:rPr>
      </w:pPr>
    </w:p>
    <w:sectPr w:rsidR="00AF4F78" w:rsidRPr="00A76C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167" w:rsidRDefault="00554167" w:rsidP="00A76C08">
      <w:r>
        <w:separator/>
      </w:r>
    </w:p>
  </w:endnote>
  <w:endnote w:type="continuationSeparator" w:id="0">
    <w:p w:rsidR="00554167" w:rsidRDefault="00554167" w:rsidP="00A7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167" w:rsidRDefault="00554167" w:rsidP="00A76C08">
      <w:r>
        <w:separator/>
      </w:r>
    </w:p>
  </w:footnote>
  <w:footnote w:type="continuationSeparator" w:id="0">
    <w:p w:rsidR="00554167" w:rsidRDefault="00554167" w:rsidP="00A76C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F78"/>
    <w:rsid w:val="00554167"/>
    <w:rsid w:val="00A76C08"/>
    <w:rsid w:val="00AF4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6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6C08"/>
    <w:rPr>
      <w:sz w:val="18"/>
      <w:szCs w:val="18"/>
    </w:rPr>
  </w:style>
  <w:style w:type="paragraph" w:styleId="a4">
    <w:name w:val="footer"/>
    <w:basedOn w:val="a"/>
    <w:link w:val="Char0"/>
    <w:uiPriority w:val="99"/>
    <w:unhideWhenUsed/>
    <w:rsid w:val="00A76C08"/>
    <w:pPr>
      <w:tabs>
        <w:tab w:val="center" w:pos="4153"/>
        <w:tab w:val="right" w:pos="8306"/>
      </w:tabs>
      <w:snapToGrid w:val="0"/>
      <w:jc w:val="left"/>
    </w:pPr>
    <w:rPr>
      <w:sz w:val="18"/>
      <w:szCs w:val="18"/>
    </w:rPr>
  </w:style>
  <w:style w:type="character" w:customStyle="1" w:styleId="Char0">
    <w:name w:val="页脚 Char"/>
    <w:basedOn w:val="a0"/>
    <w:link w:val="a4"/>
    <w:uiPriority w:val="99"/>
    <w:rsid w:val="00A76C0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6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6C08"/>
    <w:rPr>
      <w:sz w:val="18"/>
      <w:szCs w:val="18"/>
    </w:rPr>
  </w:style>
  <w:style w:type="paragraph" w:styleId="a4">
    <w:name w:val="footer"/>
    <w:basedOn w:val="a"/>
    <w:link w:val="Char0"/>
    <w:uiPriority w:val="99"/>
    <w:unhideWhenUsed/>
    <w:rsid w:val="00A76C08"/>
    <w:pPr>
      <w:tabs>
        <w:tab w:val="center" w:pos="4153"/>
        <w:tab w:val="right" w:pos="8306"/>
      </w:tabs>
      <w:snapToGrid w:val="0"/>
      <w:jc w:val="left"/>
    </w:pPr>
    <w:rPr>
      <w:sz w:val="18"/>
      <w:szCs w:val="18"/>
    </w:rPr>
  </w:style>
  <w:style w:type="character" w:customStyle="1" w:styleId="Char0">
    <w:name w:val="页脚 Char"/>
    <w:basedOn w:val="a0"/>
    <w:link w:val="a4"/>
    <w:uiPriority w:val="99"/>
    <w:rsid w:val="00A76C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944335">
      <w:bodyDiv w:val="1"/>
      <w:marLeft w:val="0"/>
      <w:marRight w:val="0"/>
      <w:marTop w:val="0"/>
      <w:marBottom w:val="0"/>
      <w:divBdr>
        <w:top w:val="none" w:sz="0" w:space="0" w:color="auto"/>
        <w:left w:val="none" w:sz="0" w:space="0" w:color="auto"/>
        <w:bottom w:val="none" w:sz="0" w:space="0" w:color="auto"/>
        <w:right w:val="none" w:sz="0" w:space="0" w:color="auto"/>
      </w:divBdr>
      <w:divsChild>
        <w:div w:id="1431243823">
          <w:marLeft w:val="0"/>
          <w:marRight w:val="0"/>
          <w:marTop w:val="150"/>
          <w:marBottom w:val="150"/>
          <w:divBdr>
            <w:top w:val="none" w:sz="0" w:space="0" w:color="auto"/>
            <w:left w:val="none" w:sz="0" w:space="0" w:color="auto"/>
            <w:bottom w:val="none" w:sz="0" w:space="0" w:color="auto"/>
            <w:right w:val="none" w:sz="0" w:space="0" w:color="auto"/>
          </w:divBdr>
          <w:divsChild>
            <w:div w:id="1388869931">
              <w:marLeft w:val="0"/>
              <w:marRight w:val="0"/>
              <w:marTop w:val="300"/>
              <w:marBottom w:val="0"/>
              <w:divBdr>
                <w:top w:val="single" w:sz="6" w:space="15" w:color="EBEBEB"/>
                <w:left w:val="single" w:sz="6" w:space="15" w:color="EBEBEB"/>
                <w:bottom w:val="single" w:sz="6" w:space="15" w:color="EBEBEB"/>
                <w:right w:val="single" w:sz="6" w:space="15" w:color="EBEBEB"/>
              </w:divBdr>
              <w:divsChild>
                <w:div w:id="237129877">
                  <w:marLeft w:val="0"/>
                  <w:marRight w:val="0"/>
                  <w:marTop w:val="300"/>
                  <w:marBottom w:val="300"/>
                  <w:divBdr>
                    <w:top w:val="none" w:sz="0" w:space="0" w:color="auto"/>
                    <w:left w:val="none" w:sz="0" w:space="0" w:color="auto"/>
                    <w:bottom w:val="none" w:sz="0" w:space="0" w:color="auto"/>
                    <w:right w:val="none" w:sz="0" w:space="0" w:color="auto"/>
                  </w:divBdr>
                  <w:divsChild>
                    <w:div w:id="603809789">
                      <w:marLeft w:val="0"/>
                      <w:marRight w:val="0"/>
                      <w:marTop w:val="0"/>
                      <w:marBottom w:val="0"/>
                      <w:divBdr>
                        <w:top w:val="none" w:sz="0" w:space="0" w:color="auto"/>
                        <w:left w:val="none" w:sz="0" w:space="0" w:color="auto"/>
                        <w:bottom w:val="none" w:sz="0" w:space="0" w:color="auto"/>
                        <w:right w:val="none" w:sz="0" w:space="0" w:color="auto"/>
                      </w:divBdr>
                      <w:divsChild>
                        <w:div w:id="140775688">
                          <w:marLeft w:val="0"/>
                          <w:marRight w:val="0"/>
                          <w:marTop w:val="0"/>
                          <w:marBottom w:val="0"/>
                          <w:divBdr>
                            <w:top w:val="none" w:sz="0" w:space="0" w:color="auto"/>
                            <w:left w:val="none" w:sz="0" w:space="0" w:color="auto"/>
                            <w:bottom w:val="none" w:sz="0" w:space="0" w:color="auto"/>
                            <w:right w:val="none" w:sz="0" w:space="0" w:color="auto"/>
                          </w:divBdr>
                        </w:div>
                        <w:div w:id="1805007073">
                          <w:marLeft w:val="0"/>
                          <w:marRight w:val="0"/>
                          <w:marTop w:val="0"/>
                          <w:marBottom w:val="0"/>
                          <w:divBdr>
                            <w:top w:val="none" w:sz="0" w:space="0" w:color="auto"/>
                            <w:left w:val="none" w:sz="0" w:space="0" w:color="auto"/>
                            <w:bottom w:val="none" w:sz="0" w:space="0" w:color="auto"/>
                            <w:right w:val="none" w:sz="0" w:space="0" w:color="auto"/>
                          </w:divBdr>
                        </w:div>
                        <w:div w:id="849756188">
                          <w:marLeft w:val="0"/>
                          <w:marRight w:val="0"/>
                          <w:marTop w:val="0"/>
                          <w:marBottom w:val="0"/>
                          <w:divBdr>
                            <w:top w:val="none" w:sz="0" w:space="0" w:color="auto"/>
                            <w:left w:val="none" w:sz="0" w:space="0" w:color="auto"/>
                            <w:bottom w:val="none" w:sz="0" w:space="0" w:color="auto"/>
                            <w:right w:val="none" w:sz="0" w:space="0" w:color="auto"/>
                          </w:divBdr>
                        </w:div>
                        <w:div w:id="354774877">
                          <w:marLeft w:val="0"/>
                          <w:marRight w:val="0"/>
                          <w:marTop w:val="0"/>
                          <w:marBottom w:val="0"/>
                          <w:divBdr>
                            <w:top w:val="none" w:sz="0" w:space="0" w:color="auto"/>
                            <w:left w:val="none" w:sz="0" w:space="0" w:color="auto"/>
                            <w:bottom w:val="none" w:sz="0" w:space="0" w:color="auto"/>
                            <w:right w:val="none" w:sz="0" w:space="0" w:color="auto"/>
                          </w:divBdr>
                        </w:div>
                        <w:div w:id="205726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326</Words>
  <Characters>1859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2015-11-19T08:32:00Z</dcterms:created>
  <dcterms:modified xsi:type="dcterms:W3CDTF">2015-11-19T08:59:00Z</dcterms:modified>
</cp:coreProperties>
</file>